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69D" w:rsidRPr="00AB00ED" w:rsidRDefault="0053069D" w:rsidP="00AB00ED">
      <w:pPr>
        <w:spacing w:after="0" w:line="480" w:lineRule="auto"/>
        <w:jc w:val="both"/>
        <w:rPr>
          <w:rFonts w:ascii="Times New Roman" w:hAnsi="Times New Roman" w:cs="Times New Roman"/>
          <w:sz w:val="24"/>
          <w:szCs w:val="24"/>
        </w:rPr>
      </w:pPr>
    </w:p>
    <w:p w:rsidR="0053069D" w:rsidRPr="00AB00ED" w:rsidRDefault="0053069D" w:rsidP="00AB00ED">
      <w:pPr>
        <w:spacing w:after="0" w:line="480" w:lineRule="auto"/>
        <w:jc w:val="both"/>
        <w:rPr>
          <w:rFonts w:ascii="Times New Roman" w:hAnsi="Times New Roman" w:cs="Times New Roman"/>
          <w:sz w:val="24"/>
          <w:szCs w:val="24"/>
        </w:rPr>
      </w:pPr>
    </w:p>
    <w:p w:rsidR="0053069D" w:rsidRPr="00AB00ED" w:rsidRDefault="0053069D" w:rsidP="00AB00ED">
      <w:pPr>
        <w:spacing w:after="0" w:line="480" w:lineRule="auto"/>
        <w:jc w:val="both"/>
        <w:rPr>
          <w:rFonts w:ascii="Times New Roman" w:hAnsi="Times New Roman" w:cs="Times New Roman"/>
          <w:sz w:val="24"/>
          <w:szCs w:val="24"/>
        </w:rPr>
      </w:pPr>
    </w:p>
    <w:p w:rsidR="0053069D" w:rsidRPr="00AB00ED" w:rsidRDefault="0053069D" w:rsidP="00AB00ED">
      <w:pPr>
        <w:spacing w:after="0" w:line="480" w:lineRule="auto"/>
        <w:jc w:val="both"/>
        <w:rPr>
          <w:rFonts w:ascii="Times New Roman" w:hAnsi="Times New Roman" w:cs="Times New Roman"/>
          <w:sz w:val="24"/>
          <w:szCs w:val="24"/>
        </w:rPr>
      </w:pPr>
    </w:p>
    <w:p w:rsidR="0053069D" w:rsidRPr="00AB00ED" w:rsidRDefault="0053069D" w:rsidP="00AB00ED">
      <w:pPr>
        <w:spacing w:after="0" w:line="480" w:lineRule="auto"/>
        <w:jc w:val="both"/>
        <w:rPr>
          <w:rFonts w:ascii="Times New Roman" w:hAnsi="Times New Roman" w:cs="Times New Roman"/>
          <w:sz w:val="24"/>
          <w:szCs w:val="24"/>
        </w:rPr>
      </w:pPr>
    </w:p>
    <w:p w:rsidR="0053069D" w:rsidRPr="00AB00ED" w:rsidRDefault="0053069D" w:rsidP="00AB00ED">
      <w:pPr>
        <w:spacing w:after="0" w:line="480" w:lineRule="auto"/>
        <w:jc w:val="both"/>
        <w:rPr>
          <w:rFonts w:ascii="Times New Roman" w:hAnsi="Times New Roman" w:cs="Times New Roman"/>
          <w:sz w:val="24"/>
          <w:szCs w:val="24"/>
        </w:rPr>
      </w:pPr>
    </w:p>
    <w:p w:rsidR="0053069D" w:rsidRPr="00AB00ED" w:rsidRDefault="0053069D" w:rsidP="00AB00ED">
      <w:pPr>
        <w:spacing w:after="0" w:line="480" w:lineRule="auto"/>
        <w:jc w:val="both"/>
        <w:rPr>
          <w:rFonts w:ascii="Times New Roman" w:hAnsi="Times New Roman" w:cs="Times New Roman"/>
          <w:sz w:val="24"/>
          <w:szCs w:val="24"/>
        </w:rPr>
      </w:pPr>
    </w:p>
    <w:p w:rsidR="00605D71" w:rsidRPr="00AB00ED" w:rsidRDefault="00B559F3" w:rsidP="00AB00ED">
      <w:pPr>
        <w:spacing w:after="0" w:line="480" w:lineRule="auto"/>
        <w:jc w:val="center"/>
        <w:rPr>
          <w:rFonts w:ascii="Times New Roman" w:hAnsi="Times New Roman" w:cs="Times New Roman"/>
          <w:sz w:val="24"/>
          <w:szCs w:val="24"/>
        </w:rPr>
      </w:pPr>
      <w:r w:rsidRPr="00AB00ED">
        <w:rPr>
          <w:rFonts w:ascii="Times New Roman" w:hAnsi="Times New Roman" w:cs="Times New Roman"/>
          <w:sz w:val="24"/>
          <w:szCs w:val="24"/>
        </w:rPr>
        <w:t>Iron Deficiency Among the Elderly</w:t>
      </w:r>
    </w:p>
    <w:p w:rsidR="00C33683" w:rsidRPr="00AB00ED" w:rsidRDefault="00C33683" w:rsidP="00AB00ED">
      <w:pPr>
        <w:spacing w:after="0" w:line="480" w:lineRule="auto"/>
        <w:jc w:val="center"/>
        <w:rPr>
          <w:rFonts w:ascii="Times New Roman" w:hAnsi="Times New Roman" w:cs="Times New Roman"/>
          <w:sz w:val="24"/>
          <w:szCs w:val="24"/>
        </w:rPr>
      </w:pPr>
      <w:r w:rsidRPr="00AB00ED">
        <w:rPr>
          <w:rFonts w:ascii="Times New Roman" w:hAnsi="Times New Roman" w:cs="Times New Roman"/>
          <w:sz w:val="24"/>
          <w:szCs w:val="24"/>
        </w:rPr>
        <w:t>Last Name/First Name</w:t>
      </w:r>
    </w:p>
    <w:p w:rsidR="00C33683" w:rsidRPr="00AB00ED" w:rsidRDefault="00C33683" w:rsidP="00AB00ED">
      <w:pPr>
        <w:spacing w:after="0" w:line="480" w:lineRule="auto"/>
        <w:jc w:val="center"/>
        <w:rPr>
          <w:rFonts w:ascii="Times New Roman" w:hAnsi="Times New Roman" w:cs="Times New Roman"/>
          <w:sz w:val="24"/>
          <w:szCs w:val="24"/>
        </w:rPr>
      </w:pPr>
      <w:r w:rsidRPr="00AB00ED">
        <w:rPr>
          <w:rFonts w:ascii="Times New Roman" w:hAnsi="Times New Roman" w:cs="Times New Roman"/>
          <w:sz w:val="24"/>
          <w:szCs w:val="24"/>
        </w:rPr>
        <w:t>Institution Affiliation</w:t>
      </w:r>
    </w:p>
    <w:p w:rsidR="00C33683" w:rsidRPr="00AB00ED" w:rsidRDefault="00C33683" w:rsidP="00AB00ED">
      <w:pPr>
        <w:spacing w:after="0" w:line="480" w:lineRule="auto"/>
        <w:jc w:val="both"/>
        <w:rPr>
          <w:rFonts w:ascii="Times New Roman" w:hAnsi="Times New Roman" w:cs="Times New Roman"/>
          <w:sz w:val="24"/>
          <w:szCs w:val="24"/>
        </w:rPr>
      </w:pPr>
    </w:p>
    <w:p w:rsidR="00C33683" w:rsidRPr="00AB00ED" w:rsidRDefault="00C33683" w:rsidP="00AB00ED">
      <w:pPr>
        <w:spacing w:after="0" w:line="480" w:lineRule="auto"/>
        <w:jc w:val="both"/>
        <w:rPr>
          <w:rFonts w:ascii="Times New Roman" w:hAnsi="Times New Roman" w:cs="Times New Roman"/>
          <w:sz w:val="24"/>
          <w:szCs w:val="24"/>
        </w:rPr>
      </w:pPr>
    </w:p>
    <w:p w:rsidR="00B85E81" w:rsidRPr="00AB00ED" w:rsidRDefault="00B85E81" w:rsidP="00AB00ED">
      <w:pPr>
        <w:spacing w:after="0" w:line="480" w:lineRule="auto"/>
        <w:jc w:val="both"/>
        <w:rPr>
          <w:rFonts w:ascii="Times New Roman" w:hAnsi="Times New Roman" w:cs="Times New Roman"/>
          <w:sz w:val="24"/>
          <w:szCs w:val="24"/>
        </w:rPr>
      </w:pPr>
      <w:r w:rsidRPr="00AB00ED">
        <w:rPr>
          <w:rFonts w:ascii="Times New Roman" w:hAnsi="Times New Roman" w:cs="Times New Roman"/>
          <w:sz w:val="24"/>
          <w:szCs w:val="24"/>
        </w:rPr>
        <w:br w:type="page"/>
      </w:r>
    </w:p>
    <w:p w:rsidR="00B559F3" w:rsidRPr="00AB00ED" w:rsidRDefault="00B559F3" w:rsidP="00B559F3">
      <w:pPr>
        <w:spacing w:after="0" w:line="480" w:lineRule="auto"/>
        <w:jc w:val="center"/>
        <w:rPr>
          <w:rFonts w:ascii="Times New Roman" w:hAnsi="Times New Roman" w:cs="Times New Roman"/>
          <w:sz w:val="24"/>
          <w:szCs w:val="24"/>
        </w:rPr>
      </w:pPr>
      <w:r w:rsidRPr="00AB00ED">
        <w:rPr>
          <w:rFonts w:ascii="Times New Roman" w:hAnsi="Times New Roman" w:cs="Times New Roman"/>
          <w:sz w:val="24"/>
          <w:szCs w:val="24"/>
        </w:rPr>
        <w:lastRenderedPageBreak/>
        <w:t>Iron Deficiency Among the Elderly</w:t>
      </w:r>
    </w:p>
    <w:p w:rsidR="00AB00ED" w:rsidRPr="00AB00ED" w:rsidRDefault="00AB00ED" w:rsidP="00AB00ED">
      <w:pPr>
        <w:spacing w:after="0" w:line="480" w:lineRule="auto"/>
        <w:ind w:firstLine="720"/>
        <w:jc w:val="both"/>
        <w:rPr>
          <w:rFonts w:ascii="Times New Roman" w:hAnsi="Times New Roman" w:cs="Times New Roman"/>
          <w:sz w:val="24"/>
          <w:szCs w:val="24"/>
        </w:rPr>
      </w:pPr>
      <w:r w:rsidRPr="00AB00ED">
        <w:rPr>
          <w:rFonts w:ascii="Times New Roman" w:hAnsi="Times New Roman" w:cs="Times New Roman"/>
          <w:sz w:val="24"/>
          <w:szCs w:val="24"/>
        </w:rPr>
        <w:t>The world is becoming more and more industrialized, especially in many of the developing countries. The increased industrialization has been proportional with length of life that has, in turn, resulted in the rise of older persons. This implies an increase in mortality rate, which is a good thing, but the question that many have been asking is whether the rise in the aging population will be accompanied by sustained or improved health. Will their quality of life be improved? Are there sufficient social and economic resources to safeguard their health? These questions' answers lie partly in the ability of families and communities, as well as the health service delivery systems used by governments. The aging population is the most vulnerable, so it is vital that their health is safeguarded (Nguyen &amp; Catherine, 2013). They are easily affected by any disease due to reduced immunity. Iron deficiency, for instance, has used that weakness to affect them, and it has, in turn, resulted in a high prevalence of anemia. The paper shall focus on analyzing iron deficiency with respect to the modalities that have been made to treating it.</w:t>
      </w:r>
    </w:p>
    <w:p w:rsidR="00AB00ED" w:rsidRPr="00AB00ED" w:rsidRDefault="00AB00ED" w:rsidP="00AB00ED">
      <w:pPr>
        <w:spacing w:after="0" w:line="480" w:lineRule="auto"/>
        <w:ind w:firstLine="720"/>
        <w:jc w:val="both"/>
        <w:rPr>
          <w:rFonts w:ascii="Times New Roman" w:hAnsi="Times New Roman" w:cs="Times New Roman"/>
          <w:sz w:val="24"/>
          <w:szCs w:val="24"/>
        </w:rPr>
      </w:pPr>
      <w:r w:rsidRPr="00AB00ED">
        <w:rPr>
          <w:rFonts w:ascii="Times New Roman" w:hAnsi="Times New Roman" w:cs="Times New Roman"/>
          <w:sz w:val="24"/>
          <w:szCs w:val="24"/>
        </w:rPr>
        <w:t>Iron deficiency in the body is the predominant cause of anemia in both sexes, with the women being the worst afflicted sex due to the menstrual blood loss and gastrointestinal conditions. The condition accounts for 8.8% of the world's disease burden and its prevalence with age and the setting of the hospital. Restless legs syndrome (RLS), fatigue, infertility, diminished quality of life, and impaired cognitive function are symptoms associated with the condition. Cancer, chronic heart failure (CHF), gastrointestinal conditions such as inflammatory bowel disease (IBD) and celiac disease and chronic kidney disease (CKD) also increases the risk of iron deficiency. In CHF, Iron deficiency is associated with an increased risk of mortality, regardless of the hemoglobin level. Among the elderly, chronic gastrointestinal diseases are the lead causes of iron deficiency based on the fact that the conditions increase with age.</w:t>
      </w:r>
    </w:p>
    <w:p w:rsidR="00AB00ED" w:rsidRPr="00AB00ED" w:rsidRDefault="00AB00ED" w:rsidP="00AB00ED">
      <w:pPr>
        <w:spacing w:after="0" w:line="480" w:lineRule="auto"/>
        <w:ind w:firstLine="720"/>
        <w:jc w:val="both"/>
        <w:rPr>
          <w:rFonts w:ascii="Times New Roman" w:hAnsi="Times New Roman" w:cs="Times New Roman"/>
          <w:sz w:val="24"/>
          <w:szCs w:val="24"/>
        </w:rPr>
      </w:pPr>
      <w:r w:rsidRPr="00AB00ED">
        <w:rPr>
          <w:rFonts w:ascii="Times New Roman" w:hAnsi="Times New Roman" w:cs="Times New Roman"/>
          <w:sz w:val="24"/>
          <w:szCs w:val="24"/>
        </w:rPr>
        <w:lastRenderedPageBreak/>
        <w:t xml:space="preserve">The hepcidin hormone that is secreted by the liver functions to regulate iron metabolism. The hormone's active form is 25-amin0 acid peptide derived from an 84 amino acid precursor. The hormone acts by binding to its receptor, the transmembrane protein ferroportin, which is the only known iron exporter in mammals. The ferroportin plays a crucial role in iron homeostasis such as absorption of dietary iron, iron storage, and recycling of iron from erythrophagocytosis.  The regulation of hepcidin synthesis is very complex, and it incorporates several different pathways and iron deficiency down-regulate its production. In as much as the regulation of hepcidin secretion is complex, there exists two main methods by which hepcidin in blood and urine can be measured. The measurement of these biological fluids presents a promising tool in the management and diagnosis of conditions that characterize iron homeostasis alteration. These measurements are not that reliable with regard to constant availability, especially in developing countries.  </w:t>
      </w:r>
    </w:p>
    <w:p w:rsidR="00AB00ED" w:rsidRPr="00AB00ED" w:rsidRDefault="00AB00ED" w:rsidP="00AB00ED">
      <w:pPr>
        <w:spacing w:after="0" w:line="480" w:lineRule="auto"/>
        <w:ind w:firstLine="720"/>
        <w:jc w:val="both"/>
        <w:rPr>
          <w:rFonts w:ascii="Times New Roman" w:hAnsi="Times New Roman" w:cs="Times New Roman"/>
          <w:sz w:val="24"/>
          <w:szCs w:val="24"/>
        </w:rPr>
      </w:pPr>
      <w:r w:rsidRPr="00AB00ED">
        <w:rPr>
          <w:rFonts w:ascii="Times New Roman" w:hAnsi="Times New Roman" w:cs="Times New Roman"/>
          <w:sz w:val="24"/>
          <w:szCs w:val="24"/>
        </w:rPr>
        <w:t>Iron deficiency among the aged has been linked to two putative mechanisms, chronic subclinical pro-inflammatory state and bone marrow erythroid progenitors' resistance to erythropoietin. Hepcidin has theoretically been touted to be effective in containing these mechanisms due to its involvement in both inflammation and iron regulation for erythropoiesis availability. Despite all this information, there is less that has been done with regard to investigating their reliability (Busti et al., 2014). To date, only two studies have been done to examine the effectiveness of hepcidin levels in elderly groups. These studies have shown that the hepcidin levels in women are approximately 50% lower before menopause as compared to men of the corresponding age. After menopause, their hepcidin levels tend to be in both sexes but tend to decrease as they age, thereby exposing them to iron deficiency.</w:t>
      </w:r>
    </w:p>
    <w:p w:rsidR="00AB00ED" w:rsidRPr="00AB00ED" w:rsidRDefault="00AB00ED" w:rsidP="00AB00ED">
      <w:pPr>
        <w:spacing w:after="0" w:line="480" w:lineRule="auto"/>
        <w:jc w:val="both"/>
        <w:rPr>
          <w:rFonts w:ascii="Times New Roman" w:hAnsi="Times New Roman" w:cs="Times New Roman"/>
          <w:sz w:val="24"/>
          <w:szCs w:val="24"/>
        </w:rPr>
      </w:pPr>
      <w:r w:rsidRPr="00AB00ED">
        <w:rPr>
          <w:rFonts w:ascii="Times New Roman" w:hAnsi="Times New Roman" w:cs="Times New Roman"/>
          <w:sz w:val="24"/>
          <w:szCs w:val="24"/>
        </w:rPr>
        <w:lastRenderedPageBreak/>
        <w:t>Concerning the treatment of iron deficiency on the elderly, currently, there exists none. The commonly existing remedy is the use of oral iron that aims to improve iron levels (Jimenez et al., 2015). In as much as that is the case, the pharmaceutical industry has made significant progress in recent times, producing more stable iron compounds. These iron compounds allow for a single treatment episode since they can be safely administered at high doses per single infusion. As such, these preparations simplify the whole issue of IV iron therapy, thus making it very useful to the elderly. The analysts have indicated that the compound possesses a lot of exciting promises with regard to controlling iron levels in the body, as such, there is the need for specific trials to be carried to confirm it.</w:t>
      </w:r>
    </w:p>
    <w:p w:rsidR="00F75459" w:rsidRDefault="00AB00ED" w:rsidP="00AB00ED">
      <w:pPr>
        <w:spacing w:after="0" w:line="480" w:lineRule="auto"/>
        <w:ind w:firstLine="720"/>
        <w:jc w:val="both"/>
        <w:rPr>
          <w:rFonts w:ascii="Times New Roman" w:hAnsi="Times New Roman" w:cs="Times New Roman"/>
          <w:sz w:val="24"/>
          <w:szCs w:val="24"/>
        </w:rPr>
      </w:pPr>
      <w:r w:rsidRPr="00AB00ED">
        <w:rPr>
          <w:rFonts w:ascii="Times New Roman" w:hAnsi="Times New Roman" w:cs="Times New Roman"/>
          <w:sz w:val="24"/>
          <w:szCs w:val="24"/>
        </w:rPr>
        <w:t xml:space="preserve">These modalities provide a master's prepared nurse with needed information that he or she can use to design a patient education session. The modalities' effectiveness allows the nurses to spend less time than usual in therapy sessions, thereby allowing them to attend more elderly patients. The challenging information concerning the modality is on the issue of anaphylaxis.  The administration of high doses per single infusion causes anaphylaxis upon patients who should be treated with oral iron or even iron overload. Thus, in as much as the modality is promising to be revolutionary, there is the need for the master's prepared nurses to exercise caution before its administration; conduct due diligence on the patient's condition.  </w:t>
      </w:r>
      <w:r w:rsidR="00B91D85" w:rsidRPr="00AB00ED">
        <w:rPr>
          <w:rFonts w:ascii="Times New Roman" w:hAnsi="Times New Roman" w:cs="Times New Roman"/>
          <w:sz w:val="24"/>
          <w:szCs w:val="24"/>
        </w:rPr>
        <w:t xml:space="preserve"> </w:t>
      </w:r>
    </w:p>
    <w:p w:rsidR="00AB00ED" w:rsidRDefault="00AB00ED" w:rsidP="00AB00ED">
      <w:pPr>
        <w:spacing w:after="0" w:line="480" w:lineRule="auto"/>
        <w:ind w:firstLine="720"/>
        <w:jc w:val="both"/>
        <w:rPr>
          <w:rFonts w:ascii="Times New Roman" w:hAnsi="Times New Roman" w:cs="Times New Roman"/>
          <w:sz w:val="24"/>
          <w:szCs w:val="24"/>
        </w:rPr>
      </w:pPr>
    </w:p>
    <w:p w:rsidR="00AB00ED" w:rsidRDefault="00AB00ED" w:rsidP="00AB00ED">
      <w:pPr>
        <w:spacing w:after="0" w:line="480" w:lineRule="auto"/>
        <w:ind w:firstLine="720"/>
        <w:jc w:val="both"/>
        <w:rPr>
          <w:rFonts w:ascii="Times New Roman" w:hAnsi="Times New Roman" w:cs="Times New Roman"/>
          <w:sz w:val="24"/>
          <w:szCs w:val="24"/>
        </w:rPr>
      </w:pPr>
    </w:p>
    <w:p w:rsidR="00AB00ED" w:rsidRDefault="00AB00ED" w:rsidP="00AB00ED">
      <w:pPr>
        <w:spacing w:after="0" w:line="480" w:lineRule="auto"/>
        <w:ind w:firstLine="720"/>
        <w:jc w:val="both"/>
        <w:rPr>
          <w:rFonts w:ascii="Times New Roman" w:hAnsi="Times New Roman" w:cs="Times New Roman"/>
          <w:sz w:val="24"/>
          <w:szCs w:val="24"/>
        </w:rPr>
      </w:pPr>
    </w:p>
    <w:p w:rsidR="00AB00ED" w:rsidRPr="00AB00ED" w:rsidRDefault="00AB00ED" w:rsidP="00AB00ED">
      <w:pPr>
        <w:spacing w:after="0" w:line="480" w:lineRule="auto"/>
        <w:ind w:firstLine="720"/>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541675172"/>
        <w:docPartObj>
          <w:docPartGallery w:val="Bibliographies"/>
          <w:docPartUnique/>
        </w:docPartObj>
      </w:sdtPr>
      <w:sdtEndPr/>
      <w:sdtContent>
        <w:p w:rsidR="00AB00ED" w:rsidRPr="00B559F3" w:rsidRDefault="00AB00ED" w:rsidP="00B559F3">
          <w:pPr>
            <w:pStyle w:val="Heading1"/>
            <w:spacing w:before="0" w:line="480" w:lineRule="auto"/>
            <w:jc w:val="center"/>
            <w:rPr>
              <w:rFonts w:ascii="Times New Roman" w:hAnsi="Times New Roman" w:cs="Times New Roman"/>
              <w:color w:val="auto"/>
              <w:sz w:val="24"/>
              <w:szCs w:val="24"/>
            </w:rPr>
          </w:pPr>
          <w:r w:rsidRPr="00B559F3">
            <w:rPr>
              <w:rFonts w:ascii="Times New Roman" w:hAnsi="Times New Roman" w:cs="Times New Roman"/>
              <w:color w:val="auto"/>
              <w:sz w:val="24"/>
              <w:szCs w:val="24"/>
            </w:rPr>
            <w:t>References</w:t>
          </w:r>
          <w:bookmarkStart w:id="0" w:name="_GoBack"/>
          <w:bookmarkEnd w:id="0"/>
        </w:p>
        <w:sdt>
          <w:sdtPr>
            <w:rPr>
              <w:rFonts w:ascii="Times New Roman" w:hAnsi="Times New Roman" w:cs="Times New Roman"/>
              <w:sz w:val="24"/>
              <w:szCs w:val="24"/>
            </w:rPr>
            <w:id w:val="-573587230"/>
            <w:bibliography/>
          </w:sdtPr>
          <w:sdtEndPr/>
          <w:sdtContent>
            <w:p w:rsidR="00AB00ED" w:rsidRPr="00AB00ED" w:rsidRDefault="00AB00ED" w:rsidP="00AB00ED">
              <w:pPr>
                <w:pStyle w:val="Bibliography"/>
                <w:spacing w:after="0" w:line="480" w:lineRule="auto"/>
                <w:ind w:left="720" w:hanging="720"/>
                <w:rPr>
                  <w:rFonts w:ascii="Times New Roman" w:hAnsi="Times New Roman" w:cs="Times New Roman"/>
                  <w:noProof/>
                  <w:sz w:val="24"/>
                  <w:szCs w:val="24"/>
                </w:rPr>
              </w:pPr>
              <w:r w:rsidRPr="00AB00ED">
                <w:rPr>
                  <w:rFonts w:ascii="Times New Roman" w:hAnsi="Times New Roman" w:cs="Times New Roman"/>
                  <w:sz w:val="24"/>
                  <w:szCs w:val="24"/>
                </w:rPr>
                <w:fldChar w:fldCharType="begin"/>
              </w:r>
              <w:r w:rsidRPr="00AB00ED">
                <w:rPr>
                  <w:rFonts w:ascii="Times New Roman" w:hAnsi="Times New Roman" w:cs="Times New Roman"/>
                  <w:sz w:val="24"/>
                  <w:szCs w:val="24"/>
                </w:rPr>
                <w:instrText xml:space="preserve"> BIBLIOGRAPHY </w:instrText>
              </w:r>
              <w:r w:rsidRPr="00AB00ED">
                <w:rPr>
                  <w:rFonts w:ascii="Times New Roman" w:hAnsi="Times New Roman" w:cs="Times New Roman"/>
                  <w:sz w:val="24"/>
                  <w:szCs w:val="24"/>
                </w:rPr>
                <w:fldChar w:fldCharType="separate"/>
              </w:r>
              <w:r w:rsidRPr="00AB00ED">
                <w:rPr>
                  <w:rFonts w:ascii="Times New Roman" w:hAnsi="Times New Roman" w:cs="Times New Roman"/>
                  <w:noProof/>
                  <w:sz w:val="24"/>
                  <w:szCs w:val="24"/>
                </w:rPr>
                <w:t xml:space="preserve">Busti, F., Nicola, M., Girelli, D., &amp; Natascia, C. (2014). Iron Deficiency in the Elderly Population, Revisited in the Hepicidin Era. </w:t>
              </w:r>
              <w:r w:rsidRPr="00AB00ED">
                <w:rPr>
                  <w:rFonts w:ascii="Times New Roman" w:hAnsi="Times New Roman" w:cs="Times New Roman"/>
                  <w:i/>
                  <w:iCs/>
                  <w:noProof/>
                  <w:sz w:val="24"/>
                  <w:szCs w:val="24"/>
                </w:rPr>
                <w:t>Frontiers in Pharmacology Journal, 76</w:t>
              </w:r>
              <w:r w:rsidRPr="00AB00ED">
                <w:rPr>
                  <w:rFonts w:ascii="Times New Roman" w:hAnsi="Times New Roman" w:cs="Times New Roman"/>
                  <w:noProof/>
                  <w:sz w:val="24"/>
                  <w:szCs w:val="24"/>
                </w:rPr>
                <w:t>, 28-35.</w:t>
              </w:r>
            </w:p>
            <w:p w:rsidR="00AB00ED" w:rsidRPr="00AB00ED" w:rsidRDefault="00AB00ED" w:rsidP="00AB00ED">
              <w:pPr>
                <w:pStyle w:val="Bibliography"/>
                <w:spacing w:after="0" w:line="480" w:lineRule="auto"/>
                <w:ind w:left="720" w:hanging="720"/>
                <w:rPr>
                  <w:rFonts w:ascii="Times New Roman" w:hAnsi="Times New Roman" w:cs="Times New Roman"/>
                  <w:noProof/>
                  <w:sz w:val="24"/>
                  <w:szCs w:val="24"/>
                </w:rPr>
              </w:pPr>
              <w:r w:rsidRPr="00AB00ED">
                <w:rPr>
                  <w:rFonts w:ascii="Times New Roman" w:hAnsi="Times New Roman" w:cs="Times New Roman"/>
                  <w:noProof/>
                  <w:sz w:val="24"/>
                  <w:szCs w:val="24"/>
                </w:rPr>
                <w:t xml:space="preserve">Jimenez, K., Gasche, C., &amp; Kulnigg-Dabsch, S. (2015). Management of Iron Deficiency Anemia. </w:t>
              </w:r>
              <w:r w:rsidRPr="00AB00ED">
                <w:rPr>
                  <w:rFonts w:ascii="Times New Roman" w:hAnsi="Times New Roman" w:cs="Times New Roman"/>
                  <w:i/>
                  <w:iCs/>
                  <w:noProof/>
                  <w:sz w:val="24"/>
                  <w:szCs w:val="24"/>
                </w:rPr>
                <w:t>Gastroenterol Hepatol Journal, 11</w:t>
              </w:r>
              <w:r w:rsidRPr="00AB00ED">
                <w:rPr>
                  <w:rFonts w:ascii="Times New Roman" w:hAnsi="Times New Roman" w:cs="Times New Roman"/>
                  <w:noProof/>
                  <w:sz w:val="24"/>
                  <w:szCs w:val="24"/>
                </w:rPr>
                <w:t>(4), 241-250.</w:t>
              </w:r>
            </w:p>
            <w:p w:rsidR="00AB00ED" w:rsidRPr="00AB00ED" w:rsidRDefault="00AB00ED" w:rsidP="00AB00ED">
              <w:pPr>
                <w:pStyle w:val="Bibliography"/>
                <w:spacing w:after="0" w:line="480" w:lineRule="auto"/>
                <w:ind w:left="720" w:hanging="720"/>
                <w:rPr>
                  <w:rFonts w:ascii="Times New Roman" w:hAnsi="Times New Roman" w:cs="Times New Roman"/>
                  <w:noProof/>
                  <w:sz w:val="24"/>
                  <w:szCs w:val="24"/>
                </w:rPr>
              </w:pPr>
              <w:r w:rsidRPr="00AB00ED">
                <w:rPr>
                  <w:rFonts w:ascii="Times New Roman" w:hAnsi="Times New Roman" w:cs="Times New Roman"/>
                  <w:noProof/>
                  <w:sz w:val="24"/>
                  <w:szCs w:val="24"/>
                </w:rPr>
                <w:t xml:space="preserve">Nguyen, D., &amp; Catherine, M. (2013). Current Depression Interventions for Older Adults: A Review of Service Delivery Approaches in Primary Care Home-Based, and Community-Based Settings. </w:t>
              </w:r>
              <w:r w:rsidRPr="00AB00ED">
                <w:rPr>
                  <w:rFonts w:ascii="Times New Roman" w:hAnsi="Times New Roman" w:cs="Times New Roman"/>
                  <w:i/>
                  <w:iCs/>
                  <w:noProof/>
                  <w:sz w:val="24"/>
                  <w:szCs w:val="24"/>
                </w:rPr>
                <w:t>Current Translational Geriatrics and Experimental Gerontology Reports, 2</w:t>
              </w:r>
              <w:r w:rsidRPr="00AB00ED">
                <w:rPr>
                  <w:rFonts w:ascii="Times New Roman" w:hAnsi="Times New Roman" w:cs="Times New Roman"/>
                  <w:noProof/>
                  <w:sz w:val="24"/>
                  <w:szCs w:val="24"/>
                </w:rPr>
                <w:t>, 37-44.</w:t>
              </w:r>
            </w:p>
            <w:p w:rsidR="00AB00ED" w:rsidRPr="00AB00ED" w:rsidRDefault="00AB00ED" w:rsidP="00AB00ED">
              <w:pPr>
                <w:spacing w:after="0" w:line="480" w:lineRule="auto"/>
                <w:rPr>
                  <w:rFonts w:ascii="Times New Roman" w:hAnsi="Times New Roman" w:cs="Times New Roman"/>
                  <w:sz w:val="24"/>
                  <w:szCs w:val="24"/>
                </w:rPr>
              </w:pPr>
              <w:r w:rsidRPr="00AB00ED">
                <w:rPr>
                  <w:rFonts w:ascii="Times New Roman" w:hAnsi="Times New Roman" w:cs="Times New Roman"/>
                  <w:b/>
                  <w:bCs/>
                  <w:noProof/>
                  <w:sz w:val="24"/>
                  <w:szCs w:val="24"/>
                </w:rPr>
                <w:fldChar w:fldCharType="end"/>
              </w:r>
            </w:p>
          </w:sdtContent>
        </w:sdt>
      </w:sdtContent>
    </w:sdt>
    <w:p w:rsidR="00AB00ED" w:rsidRPr="00AB00ED" w:rsidRDefault="00AB00ED" w:rsidP="00AB00ED">
      <w:pPr>
        <w:spacing w:after="0" w:line="480" w:lineRule="auto"/>
        <w:jc w:val="both"/>
        <w:rPr>
          <w:rFonts w:ascii="Times New Roman" w:hAnsi="Times New Roman" w:cs="Times New Roman"/>
          <w:sz w:val="24"/>
          <w:szCs w:val="24"/>
        </w:rPr>
      </w:pPr>
    </w:p>
    <w:sectPr w:rsidR="00AB00ED" w:rsidRPr="00AB00ED" w:rsidSect="00C3368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A69" w:rsidRDefault="00CE7A69" w:rsidP="00C33683">
      <w:pPr>
        <w:spacing w:after="0" w:line="240" w:lineRule="auto"/>
      </w:pPr>
      <w:r>
        <w:separator/>
      </w:r>
    </w:p>
  </w:endnote>
  <w:endnote w:type="continuationSeparator" w:id="0">
    <w:p w:rsidR="00CE7A69" w:rsidRDefault="00CE7A69" w:rsidP="00C33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A69" w:rsidRDefault="00CE7A69" w:rsidP="00C33683">
      <w:pPr>
        <w:spacing w:after="0" w:line="240" w:lineRule="auto"/>
      </w:pPr>
      <w:r>
        <w:separator/>
      </w:r>
    </w:p>
  </w:footnote>
  <w:footnote w:type="continuationSeparator" w:id="0">
    <w:p w:rsidR="00CE7A69" w:rsidRDefault="00CE7A69" w:rsidP="00C33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72933392"/>
      <w:docPartObj>
        <w:docPartGallery w:val="Page Numbers (Top of Page)"/>
        <w:docPartUnique/>
      </w:docPartObj>
    </w:sdtPr>
    <w:sdtEndPr>
      <w:rPr>
        <w:noProof/>
      </w:rPr>
    </w:sdtEndPr>
    <w:sdtContent>
      <w:p w:rsidR="00B85E81" w:rsidRPr="00C33683" w:rsidRDefault="00B85E81" w:rsidP="00C33683">
        <w:pPr>
          <w:pStyle w:val="Header"/>
          <w:rPr>
            <w:rFonts w:ascii="Times New Roman" w:hAnsi="Times New Roman" w:cs="Times New Roman"/>
            <w:sz w:val="24"/>
            <w:szCs w:val="24"/>
          </w:rPr>
        </w:pPr>
        <w:r w:rsidRPr="00C33683">
          <w:rPr>
            <w:rFonts w:ascii="Times New Roman" w:hAnsi="Times New Roman" w:cs="Times New Roman"/>
            <w:sz w:val="24"/>
            <w:szCs w:val="24"/>
          </w:rPr>
          <w:t>IRON DEFICIENCY AMONG THE ELDERLY</w:t>
        </w:r>
        <w:r w:rsidRPr="00C33683">
          <w:rPr>
            <w:rFonts w:ascii="Times New Roman" w:hAnsi="Times New Roman" w:cs="Times New Roman"/>
            <w:sz w:val="24"/>
            <w:szCs w:val="24"/>
          </w:rPr>
          <w:tab/>
        </w:r>
        <w:r w:rsidRPr="00C33683">
          <w:rPr>
            <w:rFonts w:ascii="Times New Roman" w:hAnsi="Times New Roman" w:cs="Times New Roman"/>
            <w:sz w:val="24"/>
            <w:szCs w:val="24"/>
          </w:rPr>
          <w:fldChar w:fldCharType="begin"/>
        </w:r>
        <w:r w:rsidRPr="00C33683">
          <w:rPr>
            <w:rFonts w:ascii="Times New Roman" w:hAnsi="Times New Roman" w:cs="Times New Roman"/>
            <w:sz w:val="24"/>
            <w:szCs w:val="24"/>
          </w:rPr>
          <w:instrText xml:space="preserve"> PAGE   \* MERGEFORMAT </w:instrText>
        </w:r>
        <w:r w:rsidRPr="00C33683">
          <w:rPr>
            <w:rFonts w:ascii="Times New Roman" w:hAnsi="Times New Roman" w:cs="Times New Roman"/>
            <w:sz w:val="24"/>
            <w:szCs w:val="24"/>
          </w:rPr>
          <w:fldChar w:fldCharType="separate"/>
        </w:r>
        <w:r w:rsidR="00F450BE">
          <w:rPr>
            <w:rFonts w:ascii="Times New Roman" w:hAnsi="Times New Roman" w:cs="Times New Roman"/>
            <w:noProof/>
            <w:sz w:val="24"/>
            <w:szCs w:val="24"/>
          </w:rPr>
          <w:t>5</w:t>
        </w:r>
        <w:r w:rsidRPr="00C33683">
          <w:rPr>
            <w:rFonts w:ascii="Times New Roman" w:hAnsi="Times New Roman" w:cs="Times New Roman"/>
            <w:noProof/>
            <w:sz w:val="24"/>
            <w:szCs w:val="24"/>
          </w:rPr>
          <w:fldChar w:fldCharType="end"/>
        </w:r>
      </w:p>
    </w:sdtContent>
  </w:sdt>
  <w:p w:rsidR="00B85E81" w:rsidRDefault="00B85E8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19353828"/>
      <w:docPartObj>
        <w:docPartGallery w:val="Page Numbers (Top of Page)"/>
        <w:docPartUnique/>
      </w:docPartObj>
    </w:sdtPr>
    <w:sdtEndPr>
      <w:rPr>
        <w:noProof/>
      </w:rPr>
    </w:sdtEndPr>
    <w:sdtContent>
      <w:p w:rsidR="00B85E81" w:rsidRPr="00C33683" w:rsidRDefault="00B85E81" w:rsidP="00C33683">
        <w:pPr>
          <w:pStyle w:val="Header"/>
          <w:jc w:val="right"/>
          <w:rPr>
            <w:rFonts w:ascii="Times New Roman" w:hAnsi="Times New Roman" w:cs="Times New Roman"/>
            <w:sz w:val="24"/>
            <w:szCs w:val="24"/>
          </w:rPr>
        </w:pPr>
        <w:r w:rsidRPr="00C33683">
          <w:rPr>
            <w:rFonts w:ascii="Times New Roman" w:hAnsi="Times New Roman" w:cs="Times New Roman"/>
            <w:sz w:val="24"/>
            <w:szCs w:val="24"/>
          </w:rPr>
          <w:t>Running Header: IRON DEFICIENCY AMONG THE ELDERLY</w:t>
        </w:r>
        <w:r w:rsidRPr="00C33683">
          <w:rPr>
            <w:rFonts w:ascii="Times New Roman" w:hAnsi="Times New Roman" w:cs="Times New Roman"/>
            <w:sz w:val="24"/>
            <w:szCs w:val="24"/>
          </w:rPr>
          <w:tab/>
        </w:r>
        <w:r w:rsidRPr="00C33683">
          <w:rPr>
            <w:rFonts w:ascii="Times New Roman" w:hAnsi="Times New Roman" w:cs="Times New Roman"/>
            <w:sz w:val="24"/>
            <w:szCs w:val="24"/>
          </w:rPr>
          <w:fldChar w:fldCharType="begin"/>
        </w:r>
        <w:r w:rsidRPr="00C33683">
          <w:rPr>
            <w:rFonts w:ascii="Times New Roman" w:hAnsi="Times New Roman" w:cs="Times New Roman"/>
            <w:sz w:val="24"/>
            <w:szCs w:val="24"/>
          </w:rPr>
          <w:instrText xml:space="preserve"> PAGE   \* MERGEFORMAT </w:instrText>
        </w:r>
        <w:r w:rsidRPr="00C33683">
          <w:rPr>
            <w:rFonts w:ascii="Times New Roman" w:hAnsi="Times New Roman" w:cs="Times New Roman"/>
            <w:sz w:val="24"/>
            <w:szCs w:val="24"/>
          </w:rPr>
          <w:fldChar w:fldCharType="separate"/>
        </w:r>
        <w:r w:rsidR="00B559F3">
          <w:rPr>
            <w:rFonts w:ascii="Times New Roman" w:hAnsi="Times New Roman" w:cs="Times New Roman"/>
            <w:noProof/>
            <w:sz w:val="24"/>
            <w:szCs w:val="24"/>
          </w:rPr>
          <w:t>1</w:t>
        </w:r>
        <w:r w:rsidRPr="00C33683">
          <w:rPr>
            <w:rFonts w:ascii="Times New Roman" w:hAnsi="Times New Roman" w:cs="Times New Roman"/>
            <w:noProof/>
            <w:sz w:val="24"/>
            <w:szCs w:val="24"/>
          </w:rPr>
          <w:fldChar w:fldCharType="end"/>
        </w:r>
      </w:p>
    </w:sdtContent>
  </w:sdt>
  <w:p w:rsidR="00B85E81" w:rsidRDefault="00B85E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EA3"/>
    <w:rsid w:val="00002B98"/>
    <w:rsid w:val="0000741C"/>
    <w:rsid w:val="00023333"/>
    <w:rsid w:val="000A0AAA"/>
    <w:rsid w:val="001432E5"/>
    <w:rsid w:val="001E17CD"/>
    <w:rsid w:val="002309AE"/>
    <w:rsid w:val="002F42AC"/>
    <w:rsid w:val="003A69AD"/>
    <w:rsid w:val="003D486F"/>
    <w:rsid w:val="003E3227"/>
    <w:rsid w:val="004000E5"/>
    <w:rsid w:val="00447071"/>
    <w:rsid w:val="004E61E3"/>
    <w:rsid w:val="0053069D"/>
    <w:rsid w:val="005D3459"/>
    <w:rsid w:val="00605D71"/>
    <w:rsid w:val="00615262"/>
    <w:rsid w:val="00615547"/>
    <w:rsid w:val="0063392A"/>
    <w:rsid w:val="00634463"/>
    <w:rsid w:val="006554AE"/>
    <w:rsid w:val="006D593D"/>
    <w:rsid w:val="006E274D"/>
    <w:rsid w:val="007561A6"/>
    <w:rsid w:val="00875F8C"/>
    <w:rsid w:val="0088291B"/>
    <w:rsid w:val="008B151C"/>
    <w:rsid w:val="008F0816"/>
    <w:rsid w:val="009029F5"/>
    <w:rsid w:val="00925169"/>
    <w:rsid w:val="009373E9"/>
    <w:rsid w:val="009D2CD1"/>
    <w:rsid w:val="00A174E2"/>
    <w:rsid w:val="00AB00ED"/>
    <w:rsid w:val="00AD1EA3"/>
    <w:rsid w:val="00AE0760"/>
    <w:rsid w:val="00B4576E"/>
    <w:rsid w:val="00B559F3"/>
    <w:rsid w:val="00B626F2"/>
    <w:rsid w:val="00B85E81"/>
    <w:rsid w:val="00B86BFC"/>
    <w:rsid w:val="00B91D85"/>
    <w:rsid w:val="00BD30CA"/>
    <w:rsid w:val="00C33683"/>
    <w:rsid w:val="00C450E2"/>
    <w:rsid w:val="00C55CBD"/>
    <w:rsid w:val="00C708B7"/>
    <w:rsid w:val="00CB6C0A"/>
    <w:rsid w:val="00CE7A69"/>
    <w:rsid w:val="00CF65E1"/>
    <w:rsid w:val="00D01D18"/>
    <w:rsid w:val="00D77B53"/>
    <w:rsid w:val="00DA4F62"/>
    <w:rsid w:val="00E03E2E"/>
    <w:rsid w:val="00E51E35"/>
    <w:rsid w:val="00E51F2E"/>
    <w:rsid w:val="00E62162"/>
    <w:rsid w:val="00E76EBB"/>
    <w:rsid w:val="00E83AE2"/>
    <w:rsid w:val="00EA1F52"/>
    <w:rsid w:val="00EB16CE"/>
    <w:rsid w:val="00F360B7"/>
    <w:rsid w:val="00F450BE"/>
    <w:rsid w:val="00F46231"/>
    <w:rsid w:val="00F75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50ABD"/>
  <w15:chartTrackingRefBased/>
  <w15:docId w15:val="{457B86FA-ED0C-4A17-B148-25861791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B00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36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683"/>
  </w:style>
  <w:style w:type="paragraph" w:styleId="Footer">
    <w:name w:val="footer"/>
    <w:basedOn w:val="Normal"/>
    <w:link w:val="FooterChar"/>
    <w:uiPriority w:val="99"/>
    <w:unhideWhenUsed/>
    <w:rsid w:val="00C336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683"/>
  </w:style>
  <w:style w:type="character" w:customStyle="1" w:styleId="Heading1Char">
    <w:name w:val="Heading 1 Char"/>
    <w:basedOn w:val="DefaultParagraphFont"/>
    <w:link w:val="Heading1"/>
    <w:uiPriority w:val="9"/>
    <w:rsid w:val="00AB00E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B00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51719">
      <w:bodyDiv w:val="1"/>
      <w:marLeft w:val="0"/>
      <w:marRight w:val="0"/>
      <w:marTop w:val="0"/>
      <w:marBottom w:val="0"/>
      <w:divBdr>
        <w:top w:val="none" w:sz="0" w:space="0" w:color="auto"/>
        <w:left w:val="none" w:sz="0" w:space="0" w:color="auto"/>
        <w:bottom w:val="none" w:sz="0" w:space="0" w:color="auto"/>
        <w:right w:val="none" w:sz="0" w:space="0" w:color="auto"/>
      </w:divBdr>
    </w:div>
    <w:div w:id="383408312">
      <w:bodyDiv w:val="1"/>
      <w:marLeft w:val="0"/>
      <w:marRight w:val="0"/>
      <w:marTop w:val="0"/>
      <w:marBottom w:val="0"/>
      <w:divBdr>
        <w:top w:val="none" w:sz="0" w:space="0" w:color="auto"/>
        <w:left w:val="none" w:sz="0" w:space="0" w:color="auto"/>
        <w:bottom w:val="none" w:sz="0" w:space="0" w:color="auto"/>
        <w:right w:val="none" w:sz="0" w:space="0" w:color="auto"/>
      </w:divBdr>
    </w:div>
    <w:div w:id="561714347">
      <w:bodyDiv w:val="1"/>
      <w:marLeft w:val="0"/>
      <w:marRight w:val="0"/>
      <w:marTop w:val="0"/>
      <w:marBottom w:val="0"/>
      <w:divBdr>
        <w:top w:val="none" w:sz="0" w:space="0" w:color="auto"/>
        <w:left w:val="none" w:sz="0" w:space="0" w:color="auto"/>
        <w:bottom w:val="none" w:sz="0" w:space="0" w:color="auto"/>
        <w:right w:val="none" w:sz="0" w:space="0" w:color="auto"/>
      </w:divBdr>
    </w:div>
    <w:div w:id="681710108">
      <w:bodyDiv w:val="1"/>
      <w:marLeft w:val="0"/>
      <w:marRight w:val="0"/>
      <w:marTop w:val="0"/>
      <w:marBottom w:val="0"/>
      <w:divBdr>
        <w:top w:val="none" w:sz="0" w:space="0" w:color="auto"/>
        <w:left w:val="none" w:sz="0" w:space="0" w:color="auto"/>
        <w:bottom w:val="none" w:sz="0" w:space="0" w:color="auto"/>
        <w:right w:val="none" w:sz="0" w:space="0" w:color="auto"/>
      </w:divBdr>
    </w:div>
    <w:div w:id="1467313130">
      <w:bodyDiv w:val="1"/>
      <w:marLeft w:val="0"/>
      <w:marRight w:val="0"/>
      <w:marTop w:val="0"/>
      <w:marBottom w:val="0"/>
      <w:divBdr>
        <w:top w:val="none" w:sz="0" w:space="0" w:color="auto"/>
        <w:left w:val="none" w:sz="0" w:space="0" w:color="auto"/>
        <w:bottom w:val="none" w:sz="0" w:space="0" w:color="auto"/>
        <w:right w:val="none" w:sz="0" w:space="0" w:color="auto"/>
      </w:divBdr>
    </w:div>
    <w:div w:id="1949700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Ngu13</b:Tag>
    <b:SourceType>JournalArticle</b:SourceType>
    <b:Guid>{8C75B775-B5FC-44B9-AF06-CC645623BC2E}</b:Guid>
    <b:Title>Current Depression Interventions for Older Adults: A Review of Service Delivery Approaches in Primary Care Home-Based, and Community-Based Settings</b:Title>
    <b:Year>2013</b:Year>
    <b:Author>
      <b:Author>
        <b:NameList>
          <b:Person>
            <b:Last>Nguyen</b:Last>
            <b:First>Duy</b:First>
          </b:Person>
          <b:Person>
            <b:Last>Catherine</b:Last>
            <b:First>M</b:First>
          </b:Person>
        </b:NameList>
      </b:Author>
    </b:Author>
    <b:JournalName>Current Translational Geriatrics and Experimental Gerontology Reports</b:JournalName>
    <b:Pages>37-44</b:Pages>
    <b:Volume>2</b:Volume>
    <b:RefOrder>1</b:RefOrder>
  </b:Source>
  <b:Source>
    <b:Tag>Bus14</b:Tag>
    <b:SourceType>JournalArticle</b:SourceType>
    <b:Guid>{6004741A-B295-46F8-8985-8D9B2DD261B7}</b:Guid>
    <b:Author>
      <b:Author>
        <b:NameList>
          <b:Person>
            <b:Last>Busti</b:Last>
            <b:First>Fabiana</b:First>
          </b:Person>
          <b:Person>
            <b:Last>Nicola</b:Last>
            <b:First>Martinelli</b:First>
          </b:Person>
          <b:Person>
            <b:Last>Girelli</b:Last>
            <b:First>Domenico</b:First>
          </b:Person>
          <b:Person>
            <b:Last>Natascia</b:Last>
            <b:First>Campostrini</b:First>
          </b:Person>
        </b:NameList>
      </b:Author>
    </b:Author>
    <b:Title>Iron Deficiency in the Elderly Population, Revisited in the Hepicidin Era</b:Title>
    <b:JournalName>Frontiers in Pharmacology Journal</b:JournalName>
    <b:Year>2014</b:Year>
    <b:Pages>28-35</b:Pages>
    <b:Volume>76</b:Volume>
    <b:RefOrder>2</b:RefOrder>
  </b:Source>
  <b:Source>
    <b:Tag>Jim15</b:Tag>
    <b:SourceType>JournalArticle</b:SourceType>
    <b:Guid>{4B38CE8D-0512-43A3-8C8B-30CDFE8EF98D}</b:Guid>
    <b:Author>
      <b:Author>
        <b:NameList>
          <b:Person>
            <b:Last>Jimenez</b:Last>
            <b:First>Kristine</b:First>
          </b:Person>
          <b:Person>
            <b:Last>Gasche</b:Last>
            <b:First>Christoph</b:First>
          </b:Person>
          <b:Person>
            <b:Last>Kulnigg-Dabsch</b:Last>
            <b:First>Stefanie</b:First>
          </b:Person>
        </b:NameList>
      </b:Author>
    </b:Author>
    <b:Title>Management of Iron Deficiency Anemia</b:Title>
    <b:JournalName>Gastroenterol Hepatol Journal</b:JournalName>
    <b:Year>2015</b:Year>
    <b:Pages>241-250</b:Pages>
    <b:Volume>11</b:Volume>
    <b:Issue>4</b:Issue>
    <b:RefOrder>3</b:RefOrder>
  </b:Source>
</b:Sources>
</file>

<file path=customXml/itemProps1.xml><?xml version="1.0" encoding="utf-8"?>
<ds:datastoreItem xmlns:ds="http://schemas.openxmlformats.org/officeDocument/2006/customXml" ds:itemID="{15698A92-46EA-4D3C-906D-E644E0B7E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941</Words>
  <Characters>5368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2020-06-15T04:58:00Z</dcterms:created>
  <dcterms:modified xsi:type="dcterms:W3CDTF">2020-06-15T04:58:00Z</dcterms:modified>
</cp:coreProperties>
</file>